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2FF51" w14:textId="77777777" w:rsidR="00CE4357" w:rsidRDefault="00CE4357" w:rsidP="00CE4357">
      <w:pPr>
        <w:pStyle w:val="Title"/>
        <w:rPr>
          <w:rFonts w:ascii="Verdana" w:hAnsi="Verdana" w:cs="Arial"/>
          <w:sz w:val="20"/>
        </w:rPr>
      </w:pPr>
      <w:bookmarkStart w:id="0" w:name="_GoBack"/>
      <w:bookmarkEnd w:id="0"/>
      <w:r w:rsidRPr="00CE4357">
        <w:rPr>
          <w:rFonts w:ascii="Verdana" w:hAnsi="Verdana" w:cs="Arial"/>
          <w:sz w:val="20"/>
        </w:rPr>
        <w:t xml:space="preserve">INTERNATIONAL PLANNED PARENTHOOD FEDERATION </w:t>
      </w:r>
    </w:p>
    <w:p w14:paraId="5CA9B000" w14:textId="77777777" w:rsidR="007D18B1" w:rsidRPr="00CE4357" w:rsidRDefault="007D18B1" w:rsidP="00CE4357">
      <w:pPr>
        <w:pStyle w:val="Title"/>
        <w:rPr>
          <w:rFonts w:ascii="Verdana" w:hAnsi="Verdana" w:cs="Arial"/>
          <w:sz w:val="20"/>
        </w:rPr>
      </w:pPr>
    </w:p>
    <w:p w14:paraId="74D1C737" w14:textId="77777777" w:rsidR="00CE4357" w:rsidRPr="00CE4357" w:rsidRDefault="00CE4357" w:rsidP="00CE4357">
      <w:pPr>
        <w:pStyle w:val="Heading1"/>
        <w:spacing w:before="0"/>
        <w:jc w:val="center"/>
        <w:rPr>
          <w:rFonts w:ascii="Verdana" w:hAnsi="Verdana" w:cs="Arial"/>
          <w:color w:val="auto"/>
          <w:sz w:val="20"/>
          <w:szCs w:val="20"/>
        </w:rPr>
      </w:pPr>
      <w:r w:rsidRPr="00CE4357">
        <w:rPr>
          <w:rFonts w:ascii="Verdana" w:hAnsi="Verdana" w:cs="Arial"/>
          <w:color w:val="auto"/>
          <w:sz w:val="20"/>
          <w:szCs w:val="20"/>
        </w:rPr>
        <w:t>JOB DESCRIPTION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25"/>
        <w:gridCol w:w="1503"/>
        <w:gridCol w:w="3149"/>
      </w:tblGrid>
      <w:tr w:rsidR="00CE4357" w:rsidRPr="00CE4357" w14:paraId="0DE87FDB" w14:textId="77777777" w:rsidTr="00CE4357">
        <w:trPr>
          <w:cantSplit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D4734E" w14:textId="77777777" w:rsidR="00CE4357" w:rsidRPr="00CE4357" w:rsidRDefault="00CE4357">
            <w:pPr>
              <w:jc w:val="both"/>
              <w:rPr>
                <w:rFonts w:ascii="Verdana" w:hAnsi="Verdana"/>
                <w:b/>
                <w:sz w:val="20"/>
              </w:rPr>
            </w:pPr>
          </w:p>
          <w:p w14:paraId="27584796" w14:textId="77777777" w:rsidR="00CE4357" w:rsidRPr="00CE4357" w:rsidRDefault="00CE4357">
            <w:pPr>
              <w:jc w:val="both"/>
              <w:rPr>
                <w:rFonts w:ascii="Verdana" w:hAnsi="Verdana"/>
                <w:b/>
                <w:sz w:val="20"/>
              </w:rPr>
            </w:pPr>
            <w:r w:rsidRPr="00CE4357">
              <w:rPr>
                <w:rFonts w:ascii="Verdana" w:hAnsi="Verdana"/>
                <w:b/>
                <w:sz w:val="20"/>
              </w:rPr>
              <w:t>Job Title</w:t>
            </w:r>
          </w:p>
          <w:p w14:paraId="00BF0D94" w14:textId="77777777" w:rsidR="00CE4357" w:rsidRPr="00CE4357" w:rsidRDefault="004879B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Finance </w:t>
            </w:r>
            <w:r w:rsidR="00CE4357" w:rsidRPr="00CE4357">
              <w:rPr>
                <w:rFonts w:ascii="Verdana" w:hAnsi="Verdana"/>
                <w:sz w:val="20"/>
              </w:rPr>
              <w:t xml:space="preserve"> Manager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789034" w14:textId="77777777" w:rsidR="00CE4357" w:rsidRPr="00CE4357" w:rsidRDefault="00CE4357">
            <w:pPr>
              <w:rPr>
                <w:rFonts w:ascii="Verdana" w:hAnsi="Verdana"/>
                <w:b/>
                <w:sz w:val="20"/>
              </w:rPr>
            </w:pPr>
          </w:p>
          <w:p w14:paraId="7840DF86" w14:textId="77777777" w:rsidR="00CE4357" w:rsidRPr="00CE4357" w:rsidRDefault="00CE4357">
            <w:pPr>
              <w:rPr>
                <w:rFonts w:ascii="Verdana" w:hAnsi="Verdana"/>
                <w:b/>
                <w:sz w:val="20"/>
              </w:rPr>
            </w:pPr>
            <w:r w:rsidRPr="00CE4357">
              <w:rPr>
                <w:rFonts w:ascii="Verdana" w:hAnsi="Verdana"/>
                <w:b/>
                <w:sz w:val="20"/>
              </w:rPr>
              <w:t>Division:</w:t>
            </w:r>
          </w:p>
          <w:p w14:paraId="6BCC0BAB" w14:textId="77777777" w:rsidR="00CE4357" w:rsidRPr="00CE4357" w:rsidRDefault="004879B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IPPF HUB</w:t>
            </w:r>
          </w:p>
        </w:tc>
      </w:tr>
      <w:tr w:rsidR="00CE4357" w:rsidRPr="00CE4357" w14:paraId="12A3BFB0" w14:textId="77777777" w:rsidTr="00CE4357">
        <w:trPr>
          <w:cantSplit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7DBB38" w14:textId="77777777" w:rsidR="00CE4357" w:rsidRPr="00CE4357" w:rsidRDefault="00CE4357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8411D6" w14:textId="77777777" w:rsidR="00CE4357" w:rsidRPr="00CE4357" w:rsidRDefault="00CE4357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AD04F4" w14:textId="77777777" w:rsidR="00CE4357" w:rsidRPr="00CE4357" w:rsidRDefault="00CE4357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E4357" w:rsidRPr="00CE4357" w14:paraId="38931EBB" w14:textId="77777777" w:rsidTr="00CE4357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FD7B82" w14:textId="77777777" w:rsidR="00CE4357" w:rsidRPr="00CE4357" w:rsidRDefault="00CE4357">
            <w:pPr>
              <w:jc w:val="both"/>
              <w:rPr>
                <w:rFonts w:ascii="Verdana" w:hAnsi="Verdana"/>
                <w:b/>
                <w:sz w:val="20"/>
              </w:rPr>
            </w:pPr>
          </w:p>
          <w:p w14:paraId="4D780963" w14:textId="77777777" w:rsidR="00CE4357" w:rsidRPr="00CE4357" w:rsidRDefault="00CE4357">
            <w:pPr>
              <w:jc w:val="both"/>
              <w:rPr>
                <w:rFonts w:ascii="Verdana" w:hAnsi="Verdana"/>
                <w:b/>
                <w:sz w:val="20"/>
              </w:rPr>
            </w:pPr>
            <w:r w:rsidRPr="00CE4357">
              <w:rPr>
                <w:rFonts w:ascii="Verdana" w:hAnsi="Verdana"/>
                <w:b/>
                <w:sz w:val="20"/>
              </w:rPr>
              <w:t>Location</w:t>
            </w:r>
          </w:p>
          <w:p w14:paraId="110CE8AB" w14:textId="77777777" w:rsidR="00CE4357" w:rsidRPr="00CE4357" w:rsidRDefault="004879B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Bangkok, Thailand</w:t>
            </w:r>
          </w:p>
        </w:tc>
        <w:tc>
          <w:tcPr>
            <w:tcW w:w="42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46A976" w14:textId="77777777" w:rsidR="00CE4357" w:rsidRPr="00CE4357" w:rsidRDefault="00CE4357">
            <w:pPr>
              <w:jc w:val="both"/>
              <w:rPr>
                <w:rFonts w:ascii="Verdana" w:hAnsi="Verdana"/>
                <w:b/>
                <w:sz w:val="20"/>
              </w:rPr>
            </w:pPr>
          </w:p>
          <w:p w14:paraId="2CDFD655" w14:textId="77777777" w:rsidR="00CE4357" w:rsidRPr="00CE4357" w:rsidRDefault="00CE4357">
            <w:pPr>
              <w:jc w:val="both"/>
              <w:rPr>
                <w:rFonts w:ascii="Verdana" w:hAnsi="Verdana"/>
                <w:b/>
                <w:sz w:val="20"/>
              </w:rPr>
            </w:pPr>
            <w:r w:rsidRPr="00CE4357">
              <w:rPr>
                <w:rFonts w:ascii="Verdana" w:hAnsi="Verdana"/>
                <w:b/>
                <w:sz w:val="20"/>
              </w:rPr>
              <w:t>Responsible to</w:t>
            </w:r>
          </w:p>
          <w:p w14:paraId="222E32C7" w14:textId="77777777" w:rsidR="00CE4357" w:rsidRPr="00CE4357" w:rsidRDefault="00CE4357">
            <w:pPr>
              <w:rPr>
                <w:rFonts w:ascii="Verdana" w:hAnsi="Verdana"/>
                <w:sz w:val="20"/>
              </w:rPr>
            </w:pPr>
            <w:r w:rsidRPr="00CE4357">
              <w:rPr>
                <w:rFonts w:ascii="Verdana" w:hAnsi="Verdana"/>
                <w:sz w:val="20"/>
              </w:rPr>
              <w:t xml:space="preserve">Director, </w:t>
            </w:r>
            <w:r w:rsidR="004879B9">
              <w:rPr>
                <w:rFonts w:ascii="Verdana" w:hAnsi="Verdana"/>
                <w:sz w:val="20"/>
              </w:rPr>
              <w:t>IPPF HUB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5EC319" w14:textId="77777777" w:rsidR="00CE4357" w:rsidRPr="00CE4357" w:rsidRDefault="00CE4357">
            <w:pPr>
              <w:jc w:val="both"/>
              <w:rPr>
                <w:rFonts w:ascii="Verdana" w:hAnsi="Verdana"/>
                <w:b/>
                <w:sz w:val="20"/>
              </w:rPr>
            </w:pPr>
          </w:p>
          <w:p w14:paraId="0B6F88E0" w14:textId="77777777" w:rsidR="00CE4357" w:rsidRDefault="00CE4357">
            <w:pPr>
              <w:jc w:val="both"/>
              <w:rPr>
                <w:rFonts w:ascii="Verdana" w:hAnsi="Verdana"/>
                <w:b/>
                <w:sz w:val="20"/>
              </w:rPr>
            </w:pPr>
            <w:r w:rsidRPr="00CE4357">
              <w:rPr>
                <w:rFonts w:ascii="Verdana" w:hAnsi="Verdana"/>
                <w:b/>
                <w:sz w:val="20"/>
              </w:rPr>
              <w:t>Date</w:t>
            </w:r>
          </w:p>
          <w:p w14:paraId="50E2B757" w14:textId="77777777" w:rsidR="002F3F4C" w:rsidRPr="00CE4357" w:rsidRDefault="002F3F4C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February 2017</w:t>
            </w:r>
          </w:p>
          <w:p w14:paraId="24A066C3" w14:textId="77777777" w:rsidR="00CE4357" w:rsidRPr="00CE4357" w:rsidRDefault="00CE4357">
            <w:pPr>
              <w:rPr>
                <w:rFonts w:ascii="Verdana" w:hAnsi="Verdana"/>
                <w:sz w:val="20"/>
              </w:rPr>
            </w:pPr>
          </w:p>
        </w:tc>
      </w:tr>
      <w:tr w:rsidR="00CE4357" w:rsidRPr="00CE4357" w14:paraId="7524EA55" w14:textId="77777777" w:rsidTr="00CE4357">
        <w:trPr>
          <w:cantSplit/>
        </w:trPr>
        <w:tc>
          <w:tcPr>
            <w:tcW w:w="10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F0EC83E" w14:textId="77777777" w:rsidR="00CE4357" w:rsidRPr="00CE4357" w:rsidRDefault="00CE4357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CE4357" w:rsidRPr="00CE4357" w14:paraId="1304FF1B" w14:textId="77777777" w:rsidTr="00CE4357">
        <w:trPr>
          <w:cantSplit/>
        </w:trPr>
        <w:tc>
          <w:tcPr>
            <w:tcW w:w="10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243EA9CE" w14:textId="77777777" w:rsidR="00CE4357" w:rsidRPr="00CE4357" w:rsidRDefault="00CE4357">
            <w:pPr>
              <w:jc w:val="both"/>
              <w:rPr>
                <w:rFonts w:ascii="Verdana" w:hAnsi="Verdana"/>
                <w:b/>
                <w:sz w:val="20"/>
              </w:rPr>
            </w:pPr>
            <w:r w:rsidRPr="00CE4357">
              <w:rPr>
                <w:rFonts w:ascii="Verdana" w:hAnsi="Verdana"/>
                <w:b/>
                <w:sz w:val="20"/>
              </w:rPr>
              <w:t>1.     JOB PURPOSE</w:t>
            </w:r>
          </w:p>
        </w:tc>
      </w:tr>
      <w:tr w:rsidR="00CE4357" w:rsidRPr="00CE4357" w14:paraId="6A3AE562" w14:textId="77777777" w:rsidTr="00CE4357"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7C49" w14:textId="77777777" w:rsidR="00CE4357" w:rsidRPr="00CE4357" w:rsidRDefault="00CE4357">
            <w:pPr>
              <w:jc w:val="both"/>
              <w:rPr>
                <w:rFonts w:ascii="Verdana" w:hAnsi="Verdana"/>
                <w:sz w:val="20"/>
              </w:rPr>
            </w:pPr>
          </w:p>
          <w:p w14:paraId="509BCF51" w14:textId="77777777" w:rsidR="00CE4357" w:rsidRPr="00CE4357" w:rsidRDefault="00CE4357">
            <w:pPr>
              <w:jc w:val="both"/>
              <w:rPr>
                <w:rFonts w:ascii="Verdana" w:hAnsi="Verdana"/>
                <w:sz w:val="20"/>
              </w:rPr>
            </w:pPr>
            <w:r w:rsidRPr="00CE4357">
              <w:rPr>
                <w:rFonts w:ascii="Verdana" w:hAnsi="Verdana"/>
                <w:sz w:val="20"/>
              </w:rPr>
              <w:t xml:space="preserve">The </w:t>
            </w:r>
            <w:r w:rsidR="008B0E28">
              <w:rPr>
                <w:rFonts w:ascii="Verdana" w:hAnsi="Verdana"/>
                <w:sz w:val="20"/>
              </w:rPr>
              <w:t xml:space="preserve">Finance </w:t>
            </w:r>
            <w:r w:rsidRPr="00CE4357">
              <w:rPr>
                <w:rFonts w:ascii="Verdana" w:hAnsi="Verdana"/>
                <w:sz w:val="20"/>
              </w:rPr>
              <w:t xml:space="preserve">Manager is responsible for the efficient and effective functioning of the Finance and Administration systems of the </w:t>
            </w:r>
            <w:r w:rsidR="00024A36">
              <w:rPr>
                <w:rFonts w:ascii="Verdana" w:hAnsi="Verdana"/>
                <w:sz w:val="20"/>
              </w:rPr>
              <w:t xml:space="preserve">IPPF HUB </w:t>
            </w:r>
            <w:r w:rsidRPr="00CE4357">
              <w:rPr>
                <w:rFonts w:ascii="Verdana" w:hAnsi="Verdana"/>
                <w:sz w:val="20"/>
              </w:rPr>
              <w:t xml:space="preserve">including the supervision of the Finance Assistant and </w:t>
            </w:r>
            <w:r w:rsidR="00024A36">
              <w:rPr>
                <w:rFonts w:ascii="Verdana" w:hAnsi="Verdana"/>
                <w:sz w:val="20"/>
              </w:rPr>
              <w:t>Office Administrat</w:t>
            </w:r>
            <w:r w:rsidR="009C2209">
              <w:rPr>
                <w:rFonts w:ascii="Verdana" w:hAnsi="Verdana"/>
                <w:sz w:val="20"/>
              </w:rPr>
              <w:t>or</w:t>
            </w:r>
            <w:r w:rsidRPr="00CE4357">
              <w:rPr>
                <w:rFonts w:ascii="Verdana" w:hAnsi="Verdana"/>
                <w:sz w:val="20"/>
              </w:rPr>
              <w:t>.</w:t>
            </w:r>
          </w:p>
          <w:p w14:paraId="046D2541" w14:textId="77777777" w:rsidR="00CE4357" w:rsidRPr="00CE4357" w:rsidRDefault="00CE4357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CE4357" w:rsidRPr="00CE4357" w14:paraId="4D3E3F1F" w14:textId="77777777" w:rsidTr="00CE4357">
        <w:trPr>
          <w:cantSplit/>
        </w:trPr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707ED856" w14:textId="77777777" w:rsidR="00CE4357" w:rsidRPr="00CE4357" w:rsidRDefault="00CE4357">
            <w:pPr>
              <w:jc w:val="both"/>
              <w:rPr>
                <w:rFonts w:ascii="Verdana" w:hAnsi="Verdana"/>
                <w:b/>
                <w:sz w:val="20"/>
              </w:rPr>
            </w:pPr>
            <w:r w:rsidRPr="00CE4357">
              <w:rPr>
                <w:rFonts w:ascii="Verdana" w:hAnsi="Verdana"/>
                <w:b/>
                <w:sz w:val="20"/>
              </w:rPr>
              <w:t>2.    KEY TASKS</w:t>
            </w:r>
          </w:p>
        </w:tc>
      </w:tr>
      <w:tr w:rsidR="00CE4357" w:rsidRPr="00CE4357" w14:paraId="551042F1" w14:textId="77777777" w:rsidTr="00CE4357"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670B" w14:textId="77777777" w:rsidR="00CE4357" w:rsidRPr="00CE4357" w:rsidRDefault="00CE4357">
            <w:pPr>
              <w:spacing w:before="120"/>
              <w:jc w:val="both"/>
              <w:rPr>
                <w:rFonts w:ascii="Verdana" w:hAnsi="Verdana"/>
                <w:sz w:val="20"/>
              </w:rPr>
            </w:pPr>
            <w:r w:rsidRPr="00CE4357">
              <w:rPr>
                <w:rFonts w:ascii="Verdana" w:hAnsi="Verdana"/>
                <w:sz w:val="20"/>
              </w:rPr>
              <w:t xml:space="preserve">Under the guidance and direct supervision of the Director of the </w:t>
            </w:r>
            <w:r w:rsidR="00024A36">
              <w:rPr>
                <w:rFonts w:ascii="Verdana" w:hAnsi="Verdana"/>
                <w:sz w:val="20"/>
              </w:rPr>
              <w:t>IPPF HUB</w:t>
            </w:r>
            <w:r w:rsidRPr="00CE4357">
              <w:rPr>
                <w:rFonts w:ascii="Verdana" w:hAnsi="Verdana"/>
                <w:sz w:val="20"/>
              </w:rPr>
              <w:t xml:space="preserve">, the Key Tasks outlined for the </w:t>
            </w:r>
            <w:r w:rsidR="00024A36">
              <w:rPr>
                <w:rFonts w:ascii="Verdana" w:hAnsi="Verdana"/>
                <w:sz w:val="20"/>
              </w:rPr>
              <w:t xml:space="preserve">Finance </w:t>
            </w:r>
            <w:r w:rsidRPr="00CE4357">
              <w:rPr>
                <w:rFonts w:ascii="Verdana" w:hAnsi="Verdana"/>
                <w:sz w:val="20"/>
              </w:rPr>
              <w:t>Manager</w:t>
            </w:r>
            <w:r w:rsidR="009C2209">
              <w:rPr>
                <w:rFonts w:ascii="Verdana" w:hAnsi="Verdana"/>
                <w:sz w:val="20"/>
              </w:rPr>
              <w:t xml:space="preserve"> </w:t>
            </w:r>
            <w:r w:rsidRPr="00CE4357">
              <w:rPr>
                <w:rFonts w:ascii="Verdana" w:hAnsi="Verdana"/>
                <w:sz w:val="20"/>
              </w:rPr>
              <w:t>are:</w:t>
            </w:r>
          </w:p>
          <w:p w14:paraId="25660895" w14:textId="77777777" w:rsidR="00CE4357" w:rsidRPr="00CE4357" w:rsidRDefault="00CE4357">
            <w:pPr>
              <w:jc w:val="both"/>
              <w:rPr>
                <w:rFonts w:ascii="Verdana" w:hAnsi="Verdana"/>
                <w:sz w:val="20"/>
              </w:rPr>
            </w:pPr>
          </w:p>
          <w:p w14:paraId="56641212" w14:textId="77777777" w:rsidR="00CE4357" w:rsidRPr="00CE4357" w:rsidRDefault="00CE4357">
            <w:pPr>
              <w:pStyle w:val="ListParagraph"/>
              <w:numPr>
                <w:ilvl w:val="1"/>
                <w:numId w:val="1"/>
              </w:numPr>
              <w:ind w:left="426"/>
              <w:jc w:val="both"/>
              <w:rPr>
                <w:rFonts w:ascii="Verdana" w:hAnsi="Verdana"/>
                <w:b/>
              </w:rPr>
            </w:pPr>
            <w:r w:rsidRPr="00CE4357">
              <w:rPr>
                <w:rFonts w:ascii="Verdana" w:hAnsi="Verdana"/>
                <w:b/>
              </w:rPr>
              <w:t>Overall</w:t>
            </w:r>
          </w:p>
          <w:p w14:paraId="5816237D" w14:textId="77777777" w:rsidR="00CE4357" w:rsidRPr="00CE4357" w:rsidRDefault="00CE4357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Verdana" w:hAnsi="Verdana"/>
                <w:sz w:val="20"/>
              </w:rPr>
            </w:pPr>
            <w:r w:rsidRPr="00CE4357">
              <w:rPr>
                <w:rFonts w:ascii="Verdana" w:hAnsi="Verdana"/>
                <w:sz w:val="20"/>
              </w:rPr>
              <w:t>To support the Director in maintaining</w:t>
            </w:r>
            <w:r w:rsidR="009C2209">
              <w:rPr>
                <w:rFonts w:ascii="Verdana" w:hAnsi="Verdana"/>
                <w:sz w:val="20"/>
              </w:rPr>
              <w:t xml:space="preserve"> and</w:t>
            </w:r>
            <w:r w:rsidRPr="00CE4357">
              <w:rPr>
                <w:rFonts w:ascii="Verdana" w:hAnsi="Verdana"/>
                <w:sz w:val="20"/>
              </w:rPr>
              <w:t xml:space="preserve"> adher</w:t>
            </w:r>
            <w:r w:rsidR="009C2209">
              <w:rPr>
                <w:rFonts w:ascii="Verdana" w:hAnsi="Verdana"/>
                <w:sz w:val="20"/>
              </w:rPr>
              <w:t>ing</w:t>
            </w:r>
            <w:r w:rsidRPr="00CE4357">
              <w:rPr>
                <w:rFonts w:ascii="Verdana" w:hAnsi="Verdana"/>
                <w:sz w:val="20"/>
              </w:rPr>
              <w:t xml:space="preserve"> to IPPF Policies and Procedures and compliance with the </w:t>
            </w:r>
            <w:r w:rsidR="00024A36">
              <w:rPr>
                <w:rFonts w:ascii="Verdana" w:hAnsi="Verdana"/>
                <w:sz w:val="20"/>
              </w:rPr>
              <w:t xml:space="preserve">Thai Local </w:t>
            </w:r>
            <w:r w:rsidRPr="00CE4357">
              <w:rPr>
                <w:rFonts w:ascii="Verdana" w:hAnsi="Verdana"/>
                <w:sz w:val="20"/>
              </w:rPr>
              <w:t>Terms of Reference</w:t>
            </w:r>
            <w:r w:rsidR="00024A36">
              <w:rPr>
                <w:rFonts w:ascii="Verdana" w:hAnsi="Verdana"/>
                <w:sz w:val="20"/>
              </w:rPr>
              <w:t>.</w:t>
            </w:r>
            <w:r w:rsidRPr="00CE4357">
              <w:rPr>
                <w:rFonts w:ascii="Verdana" w:hAnsi="Verdana"/>
                <w:sz w:val="20"/>
              </w:rPr>
              <w:t xml:space="preserve"> </w:t>
            </w:r>
          </w:p>
          <w:p w14:paraId="645C6247" w14:textId="77777777" w:rsidR="00CE4357" w:rsidRPr="00CE4357" w:rsidRDefault="00CE4357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Verdana" w:hAnsi="Verdana"/>
                <w:sz w:val="20"/>
              </w:rPr>
            </w:pPr>
            <w:r w:rsidRPr="00CE4357">
              <w:rPr>
                <w:rFonts w:ascii="Verdana" w:hAnsi="Verdana"/>
                <w:sz w:val="20"/>
              </w:rPr>
              <w:t xml:space="preserve">To ensure quality and timely output </w:t>
            </w:r>
            <w:r w:rsidR="00024A36">
              <w:rPr>
                <w:rFonts w:ascii="Verdana" w:hAnsi="Verdana"/>
                <w:sz w:val="20"/>
              </w:rPr>
              <w:t xml:space="preserve">of </w:t>
            </w:r>
            <w:r w:rsidRPr="00CE4357">
              <w:rPr>
                <w:rFonts w:ascii="Verdana" w:hAnsi="Verdana"/>
                <w:sz w:val="20"/>
              </w:rPr>
              <w:t xml:space="preserve">Finance </w:t>
            </w:r>
            <w:r w:rsidR="00024A36">
              <w:rPr>
                <w:rFonts w:ascii="Verdana" w:hAnsi="Verdana"/>
                <w:sz w:val="20"/>
              </w:rPr>
              <w:t xml:space="preserve">and Administration </w:t>
            </w:r>
            <w:r w:rsidRPr="00CE4357">
              <w:rPr>
                <w:rFonts w:ascii="Verdana" w:hAnsi="Verdana"/>
                <w:sz w:val="20"/>
              </w:rPr>
              <w:t>Unit and to keep the respective functions in proper alignment. This will include supervision, guidance and support to staff</w:t>
            </w:r>
            <w:r w:rsidR="009C2209">
              <w:rPr>
                <w:rFonts w:ascii="Verdana" w:hAnsi="Verdana"/>
                <w:sz w:val="20"/>
              </w:rPr>
              <w:t xml:space="preserve"> under his/</w:t>
            </w:r>
            <w:r w:rsidR="00024A36">
              <w:rPr>
                <w:rFonts w:ascii="Verdana" w:hAnsi="Verdana"/>
                <w:sz w:val="20"/>
              </w:rPr>
              <w:t xml:space="preserve">her </w:t>
            </w:r>
            <w:r w:rsidRPr="00CE4357">
              <w:rPr>
                <w:rFonts w:ascii="Verdana" w:hAnsi="Verdana"/>
                <w:sz w:val="20"/>
              </w:rPr>
              <w:t>Unit.</w:t>
            </w:r>
          </w:p>
          <w:p w14:paraId="47331EE6" w14:textId="77777777" w:rsidR="00CE4357" w:rsidRPr="00CE4357" w:rsidRDefault="00CE4357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Verdana" w:hAnsi="Verdana"/>
                <w:sz w:val="20"/>
              </w:rPr>
            </w:pPr>
            <w:r w:rsidRPr="00CE4357">
              <w:rPr>
                <w:rFonts w:ascii="Verdana" w:hAnsi="Verdana"/>
                <w:sz w:val="20"/>
              </w:rPr>
              <w:t xml:space="preserve">To develop and manage appropriate accounting procedures </w:t>
            </w:r>
            <w:r w:rsidR="009C2209">
              <w:rPr>
                <w:rFonts w:ascii="Verdana" w:hAnsi="Verdana"/>
                <w:sz w:val="20"/>
              </w:rPr>
              <w:t>to manage</w:t>
            </w:r>
            <w:r w:rsidRPr="00CE4357">
              <w:rPr>
                <w:rFonts w:ascii="Verdana" w:hAnsi="Verdana"/>
                <w:sz w:val="20"/>
              </w:rPr>
              <w:t xml:space="preserve"> </w:t>
            </w:r>
            <w:r w:rsidR="00024A36">
              <w:rPr>
                <w:rFonts w:ascii="Verdana" w:hAnsi="Verdana"/>
                <w:sz w:val="20"/>
              </w:rPr>
              <w:t>IPPF HUB functions</w:t>
            </w:r>
            <w:r w:rsidRPr="00CE4357">
              <w:rPr>
                <w:rFonts w:ascii="Verdana" w:hAnsi="Verdana"/>
                <w:sz w:val="20"/>
              </w:rPr>
              <w:t>.</w:t>
            </w:r>
          </w:p>
          <w:p w14:paraId="0F3546FB" w14:textId="77777777" w:rsidR="00CE4357" w:rsidRPr="00CE4357" w:rsidRDefault="00CE4357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Verdana" w:hAnsi="Verdana"/>
                <w:sz w:val="20"/>
              </w:rPr>
            </w:pPr>
            <w:r w:rsidRPr="00CE4357">
              <w:rPr>
                <w:rFonts w:ascii="Verdana" w:hAnsi="Verdana"/>
                <w:sz w:val="20"/>
              </w:rPr>
              <w:t xml:space="preserve">To assist </w:t>
            </w:r>
            <w:r w:rsidR="00913939">
              <w:rPr>
                <w:rFonts w:ascii="Verdana" w:hAnsi="Verdana"/>
                <w:sz w:val="20"/>
              </w:rPr>
              <w:t xml:space="preserve">the IPPF HUB </w:t>
            </w:r>
            <w:r w:rsidRPr="00CE4357">
              <w:rPr>
                <w:rFonts w:ascii="Verdana" w:hAnsi="Verdana"/>
                <w:sz w:val="20"/>
              </w:rPr>
              <w:t xml:space="preserve">Director with the preparation of </w:t>
            </w:r>
            <w:r w:rsidR="00024A36">
              <w:rPr>
                <w:rFonts w:ascii="Verdana" w:hAnsi="Verdana"/>
                <w:sz w:val="20"/>
              </w:rPr>
              <w:t xml:space="preserve">monthly </w:t>
            </w:r>
            <w:r w:rsidRPr="00CE4357">
              <w:rPr>
                <w:rFonts w:ascii="Verdana" w:hAnsi="Verdana"/>
                <w:sz w:val="20"/>
              </w:rPr>
              <w:t xml:space="preserve">finance reports to </w:t>
            </w:r>
            <w:r w:rsidR="00024A36">
              <w:rPr>
                <w:rFonts w:ascii="Verdana" w:hAnsi="Verdana"/>
                <w:sz w:val="20"/>
              </w:rPr>
              <w:t xml:space="preserve">all units </w:t>
            </w:r>
            <w:r w:rsidRPr="00CE4357">
              <w:rPr>
                <w:rFonts w:ascii="Verdana" w:hAnsi="Verdana"/>
                <w:sz w:val="20"/>
              </w:rPr>
              <w:t>and to establish systems to link donor reports to the internal accounts.</w:t>
            </w:r>
          </w:p>
          <w:p w14:paraId="09F0D478" w14:textId="77777777" w:rsidR="00CE4357" w:rsidRPr="00CE4357" w:rsidRDefault="00CE4357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Verdana" w:hAnsi="Verdana"/>
                <w:sz w:val="20"/>
              </w:rPr>
            </w:pPr>
            <w:r w:rsidRPr="00CE4357">
              <w:rPr>
                <w:rFonts w:ascii="Verdana" w:hAnsi="Verdana"/>
                <w:sz w:val="20"/>
              </w:rPr>
              <w:t>To work closely with the Programme Managers to ensure effective linkages, communication and workflow between the technical and administrative aspects of consultancy management.</w:t>
            </w:r>
          </w:p>
          <w:p w14:paraId="7713A56E" w14:textId="77777777" w:rsidR="00CE4357" w:rsidRPr="00CE4357" w:rsidRDefault="00CE4357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Verdana" w:hAnsi="Verdana"/>
                <w:sz w:val="20"/>
              </w:rPr>
            </w:pPr>
            <w:r w:rsidRPr="00CE4357">
              <w:rPr>
                <w:rFonts w:ascii="Verdana" w:hAnsi="Verdana"/>
                <w:sz w:val="20"/>
              </w:rPr>
              <w:t xml:space="preserve">To collaborate with all Managers under the Director’s supervision in the preparation </w:t>
            </w:r>
            <w:r w:rsidR="007D18B1" w:rsidRPr="00CE4357">
              <w:rPr>
                <w:rFonts w:ascii="Verdana" w:hAnsi="Verdana"/>
                <w:sz w:val="20"/>
              </w:rPr>
              <w:t>of annual</w:t>
            </w:r>
            <w:r w:rsidRPr="00CE4357">
              <w:rPr>
                <w:rFonts w:ascii="Verdana" w:hAnsi="Verdana"/>
                <w:sz w:val="20"/>
              </w:rPr>
              <w:t xml:space="preserve"> work plans and associated budgets, to monitor spend rates against budgets and available funds</w:t>
            </w:r>
            <w:r w:rsidR="009C2209">
              <w:rPr>
                <w:rFonts w:ascii="Verdana" w:hAnsi="Verdana"/>
                <w:sz w:val="20"/>
              </w:rPr>
              <w:t xml:space="preserve"> </w:t>
            </w:r>
            <w:r w:rsidR="007D18B1" w:rsidRPr="00CE4357">
              <w:rPr>
                <w:rFonts w:ascii="Verdana" w:hAnsi="Verdana"/>
                <w:sz w:val="20"/>
              </w:rPr>
              <w:t>and the</w:t>
            </w:r>
            <w:r w:rsidRPr="00CE4357">
              <w:rPr>
                <w:rFonts w:ascii="Verdana" w:hAnsi="Verdana"/>
                <w:sz w:val="20"/>
              </w:rPr>
              <w:t xml:space="preserve"> </w:t>
            </w:r>
            <w:r w:rsidR="00913939">
              <w:rPr>
                <w:rFonts w:ascii="Verdana" w:hAnsi="Verdana"/>
                <w:sz w:val="20"/>
              </w:rPr>
              <w:t xml:space="preserve">HUB </w:t>
            </w:r>
            <w:r w:rsidRPr="00CE4357">
              <w:rPr>
                <w:rFonts w:ascii="Verdana" w:hAnsi="Verdana"/>
                <w:sz w:val="20"/>
              </w:rPr>
              <w:t xml:space="preserve">budgeting and financial reporting into IPPF’s </w:t>
            </w:r>
            <w:proofErr w:type="spellStart"/>
            <w:r w:rsidR="00913939">
              <w:rPr>
                <w:rFonts w:ascii="Verdana" w:hAnsi="Verdana"/>
                <w:sz w:val="20"/>
              </w:rPr>
              <w:t>e</w:t>
            </w:r>
            <w:r w:rsidRPr="00CE4357">
              <w:rPr>
                <w:rFonts w:ascii="Verdana" w:hAnsi="Verdana"/>
                <w:sz w:val="20"/>
              </w:rPr>
              <w:t>IMS</w:t>
            </w:r>
            <w:proofErr w:type="spellEnd"/>
            <w:r w:rsidRPr="00CE4357">
              <w:rPr>
                <w:rFonts w:ascii="Verdana" w:hAnsi="Verdana"/>
                <w:sz w:val="20"/>
              </w:rPr>
              <w:t xml:space="preserve"> system.</w:t>
            </w:r>
          </w:p>
          <w:p w14:paraId="47BE62C0" w14:textId="77777777" w:rsidR="00CE4357" w:rsidRPr="00CE4357" w:rsidRDefault="00CE4357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Verdana" w:hAnsi="Verdana"/>
                <w:sz w:val="20"/>
              </w:rPr>
            </w:pPr>
            <w:r w:rsidRPr="00CE4357">
              <w:rPr>
                <w:rFonts w:ascii="Verdana" w:hAnsi="Verdana"/>
                <w:sz w:val="20"/>
              </w:rPr>
              <w:t xml:space="preserve">To maintain </w:t>
            </w:r>
            <w:r w:rsidR="00913939">
              <w:rPr>
                <w:rFonts w:ascii="Verdana" w:hAnsi="Verdana"/>
                <w:sz w:val="20"/>
              </w:rPr>
              <w:t>IPPF</w:t>
            </w:r>
            <w:r w:rsidRPr="00CE4357">
              <w:rPr>
                <w:rFonts w:ascii="Verdana" w:hAnsi="Verdana"/>
                <w:sz w:val="20"/>
              </w:rPr>
              <w:t>’s Standard Operating Procedures ensuring that they are serving as an accurate guide to actual procedures.</w:t>
            </w:r>
          </w:p>
          <w:p w14:paraId="6DDF27E7" w14:textId="77777777" w:rsidR="00CE4357" w:rsidRPr="00CE4357" w:rsidRDefault="00CE4357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Verdana" w:hAnsi="Verdana"/>
                <w:sz w:val="20"/>
              </w:rPr>
            </w:pPr>
            <w:r w:rsidRPr="00CE4357">
              <w:rPr>
                <w:rFonts w:ascii="Verdana" w:hAnsi="Verdana"/>
                <w:sz w:val="20"/>
              </w:rPr>
              <w:t>To be a signatory for Finance and Contracts ensuring an appropriate level of checking and review before sign off.</w:t>
            </w:r>
          </w:p>
          <w:p w14:paraId="250AC60D" w14:textId="77777777" w:rsidR="00CE4357" w:rsidRPr="00CE4357" w:rsidRDefault="00CE4357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Verdana" w:hAnsi="Verdana"/>
                <w:sz w:val="20"/>
              </w:rPr>
            </w:pPr>
            <w:r w:rsidRPr="00CE4357">
              <w:rPr>
                <w:rFonts w:ascii="Verdana" w:hAnsi="Verdana"/>
                <w:sz w:val="20"/>
              </w:rPr>
              <w:t xml:space="preserve">To provide assistance to </w:t>
            </w:r>
            <w:r w:rsidR="00913939">
              <w:rPr>
                <w:rFonts w:ascii="Verdana" w:hAnsi="Verdana"/>
                <w:sz w:val="20"/>
              </w:rPr>
              <w:t xml:space="preserve">Directors and </w:t>
            </w:r>
            <w:r w:rsidRPr="00CE4357">
              <w:rPr>
                <w:rFonts w:ascii="Verdana" w:hAnsi="Verdana"/>
                <w:sz w:val="20"/>
              </w:rPr>
              <w:t>staff in resolving operational problems and to serve as OIC on operational matters</w:t>
            </w:r>
            <w:r w:rsidR="00913939">
              <w:rPr>
                <w:rFonts w:ascii="Verdana" w:hAnsi="Verdana"/>
                <w:sz w:val="20"/>
              </w:rPr>
              <w:t xml:space="preserve"> </w:t>
            </w:r>
            <w:r w:rsidR="009C2209">
              <w:rPr>
                <w:rFonts w:ascii="Verdana" w:hAnsi="Verdana"/>
                <w:sz w:val="20"/>
              </w:rPr>
              <w:t>in the absence of</w:t>
            </w:r>
            <w:r w:rsidR="00913939">
              <w:rPr>
                <w:rFonts w:ascii="Verdana" w:hAnsi="Verdana"/>
                <w:sz w:val="20"/>
              </w:rPr>
              <w:t xml:space="preserve"> the IPPF HUB </w:t>
            </w:r>
            <w:r w:rsidRPr="00CE4357">
              <w:rPr>
                <w:rFonts w:ascii="Verdana" w:hAnsi="Verdana"/>
                <w:sz w:val="20"/>
              </w:rPr>
              <w:t>Director</w:t>
            </w:r>
            <w:r w:rsidR="009C2209">
              <w:rPr>
                <w:rFonts w:ascii="Verdana" w:hAnsi="Verdana"/>
                <w:sz w:val="20"/>
              </w:rPr>
              <w:t>.</w:t>
            </w:r>
          </w:p>
          <w:p w14:paraId="295CA163" w14:textId="77777777" w:rsidR="00CE4357" w:rsidRPr="00CE4357" w:rsidRDefault="00CE4357">
            <w:pPr>
              <w:jc w:val="both"/>
              <w:rPr>
                <w:rFonts w:ascii="Verdana" w:hAnsi="Verdana"/>
                <w:b/>
                <w:sz w:val="20"/>
              </w:rPr>
            </w:pPr>
          </w:p>
          <w:p w14:paraId="61A82370" w14:textId="77777777" w:rsidR="00CE4357" w:rsidRPr="00CE4357" w:rsidRDefault="00CE4357">
            <w:pPr>
              <w:numPr>
                <w:ilvl w:val="0"/>
                <w:numId w:val="2"/>
              </w:numPr>
              <w:ind w:left="426"/>
              <w:jc w:val="both"/>
              <w:rPr>
                <w:rFonts w:ascii="Verdana" w:hAnsi="Verdana"/>
                <w:b/>
                <w:sz w:val="20"/>
              </w:rPr>
            </w:pPr>
            <w:r w:rsidRPr="00CE4357">
              <w:rPr>
                <w:rFonts w:ascii="Verdana" w:hAnsi="Verdana"/>
                <w:b/>
                <w:sz w:val="20"/>
              </w:rPr>
              <w:t>Financial Management:</w:t>
            </w:r>
          </w:p>
          <w:p w14:paraId="0A645CAD" w14:textId="77777777" w:rsidR="00CE4357" w:rsidRPr="00CE4357" w:rsidRDefault="00CE4357">
            <w:pPr>
              <w:numPr>
                <w:ilvl w:val="0"/>
                <w:numId w:val="4"/>
              </w:numPr>
              <w:ind w:left="714" w:hanging="357"/>
              <w:jc w:val="both"/>
              <w:rPr>
                <w:rFonts w:ascii="Verdana" w:hAnsi="Verdana"/>
                <w:sz w:val="20"/>
              </w:rPr>
            </w:pPr>
            <w:r w:rsidRPr="00CE4357">
              <w:rPr>
                <w:rFonts w:ascii="Verdana" w:hAnsi="Verdana"/>
                <w:sz w:val="20"/>
              </w:rPr>
              <w:t xml:space="preserve">To update the </w:t>
            </w:r>
            <w:r w:rsidR="009C2209">
              <w:rPr>
                <w:rFonts w:ascii="Verdana" w:hAnsi="Verdana"/>
                <w:sz w:val="20"/>
              </w:rPr>
              <w:t xml:space="preserve">HUB </w:t>
            </w:r>
            <w:r w:rsidRPr="00CE4357">
              <w:rPr>
                <w:rFonts w:ascii="Verdana" w:hAnsi="Verdana"/>
                <w:sz w:val="20"/>
              </w:rPr>
              <w:t>Director on financial transactions, including preparation of monthly returns, monthly statements and finance reports to IPPF.</w:t>
            </w:r>
          </w:p>
          <w:p w14:paraId="47441C48" w14:textId="77777777" w:rsidR="00CE4357" w:rsidRPr="00CE4357" w:rsidRDefault="00CE4357">
            <w:pPr>
              <w:numPr>
                <w:ilvl w:val="0"/>
                <w:numId w:val="4"/>
              </w:numPr>
              <w:ind w:left="714" w:hanging="357"/>
              <w:jc w:val="both"/>
              <w:rPr>
                <w:rFonts w:ascii="Verdana" w:hAnsi="Verdana"/>
                <w:sz w:val="20"/>
              </w:rPr>
            </w:pPr>
            <w:r w:rsidRPr="00CE4357">
              <w:rPr>
                <w:rFonts w:ascii="Verdana" w:hAnsi="Verdana"/>
                <w:sz w:val="20"/>
              </w:rPr>
              <w:t xml:space="preserve">To develop and monitor </w:t>
            </w:r>
            <w:r w:rsidR="00913939">
              <w:rPr>
                <w:rFonts w:ascii="Verdana" w:hAnsi="Verdana"/>
                <w:sz w:val="20"/>
              </w:rPr>
              <w:t>IPPF HUB’s</w:t>
            </w:r>
            <w:r w:rsidRPr="00CE4357">
              <w:rPr>
                <w:rFonts w:ascii="Verdana" w:hAnsi="Verdana"/>
                <w:sz w:val="20"/>
              </w:rPr>
              <w:t xml:space="preserve"> budgets based on finalized work plans and ensure that spend patterns are monitored against budgets.</w:t>
            </w:r>
          </w:p>
          <w:p w14:paraId="1AFDE248" w14:textId="77777777" w:rsidR="00CE4357" w:rsidRPr="00CE4357" w:rsidRDefault="00CE4357">
            <w:pPr>
              <w:numPr>
                <w:ilvl w:val="0"/>
                <w:numId w:val="4"/>
              </w:numPr>
              <w:ind w:left="714" w:hanging="357"/>
              <w:jc w:val="both"/>
              <w:rPr>
                <w:rFonts w:ascii="Verdana" w:hAnsi="Verdana"/>
                <w:sz w:val="20"/>
              </w:rPr>
            </w:pPr>
            <w:r w:rsidRPr="00CE4357">
              <w:rPr>
                <w:rFonts w:ascii="Verdana" w:hAnsi="Verdana"/>
                <w:sz w:val="20"/>
              </w:rPr>
              <w:t>To ensure that financial reporting to both donor and the host organization</w:t>
            </w:r>
            <w:r w:rsidR="009C2209">
              <w:rPr>
                <w:rFonts w:ascii="Verdana" w:hAnsi="Verdana"/>
                <w:sz w:val="20"/>
              </w:rPr>
              <w:t xml:space="preserve"> </w:t>
            </w:r>
            <w:r w:rsidRPr="00CE4357">
              <w:rPr>
                <w:rFonts w:ascii="Verdana" w:hAnsi="Verdana"/>
                <w:sz w:val="20"/>
              </w:rPr>
              <w:t>is timely, accurate, complete and linked to internal accounts.</w:t>
            </w:r>
          </w:p>
          <w:p w14:paraId="18DE9BC1" w14:textId="77777777" w:rsidR="00CE4357" w:rsidRPr="00CE4357" w:rsidRDefault="00CE4357">
            <w:pPr>
              <w:numPr>
                <w:ilvl w:val="0"/>
                <w:numId w:val="4"/>
              </w:numPr>
              <w:ind w:left="714" w:hanging="357"/>
              <w:jc w:val="both"/>
              <w:rPr>
                <w:rFonts w:ascii="Verdana" w:hAnsi="Verdana"/>
                <w:sz w:val="20"/>
              </w:rPr>
            </w:pPr>
            <w:r w:rsidRPr="00CE4357">
              <w:rPr>
                <w:rFonts w:ascii="Verdana" w:hAnsi="Verdana"/>
                <w:sz w:val="20"/>
              </w:rPr>
              <w:t xml:space="preserve">To maintain the </w:t>
            </w:r>
            <w:r w:rsidR="00913939">
              <w:rPr>
                <w:rFonts w:ascii="Verdana" w:hAnsi="Verdana"/>
                <w:sz w:val="20"/>
              </w:rPr>
              <w:t xml:space="preserve">IPPF HUB’s </w:t>
            </w:r>
            <w:r w:rsidRPr="00CE4357">
              <w:rPr>
                <w:rFonts w:ascii="Verdana" w:hAnsi="Verdana"/>
                <w:sz w:val="20"/>
              </w:rPr>
              <w:t xml:space="preserve">Fixed Asset Register, oversee </w:t>
            </w:r>
            <w:r w:rsidR="00913939">
              <w:rPr>
                <w:rFonts w:ascii="Verdana" w:hAnsi="Verdana"/>
                <w:sz w:val="20"/>
              </w:rPr>
              <w:t>p</w:t>
            </w:r>
            <w:r w:rsidRPr="00CE4357">
              <w:rPr>
                <w:rFonts w:ascii="Verdana" w:hAnsi="Verdana"/>
                <w:sz w:val="20"/>
              </w:rPr>
              <w:t xml:space="preserve">antry and </w:t>
            </w:r>
            <w:r w:rsidR="00913939">
              <w:rPr>
                <w:rFonts w:ascii="Verdana" w:hAnsi="Verdana"/>
                <w:sz w:val="20"/>
              </w:rPr>
              <w:t>s</w:t>
            </w:r>
            <w:r w:rsidRPr="00CE4357">
              <w:rPr>
                <w:rFonts w:ascii="Verdana" w:hAnsi="Verdana"/>
                <w:sz w:val="20"/>
              </w:rPr>
              <w:t>tationary requests and procurement and maintain support service contracts.</w:t>
            </w:r>
          </w:p>
          <w:p w14:paraId="2F0A0C69" w14:textId="77777777" w:rsidR="00CE4357" w:rsidRPr="00CE4357" w:rsidRDefault="00CE4357">
            <w:pPr>
              <w:numPr>
                <w:ilvl w:val="0"/>
                <w:numId w:val="4"/>
              </w:numPr>
              <w:ind w:left="714" w:hanging="357"/>
              <w:jc w:val="both"/>
              <w:rPr>
                <w:rFonts w:ascii="Verdana" w:hAnsi="Verdana"/>
                <w:sz w:val="20"/>
              </w:rPr>
            </w:pPr>
            <w:r w:rsidRPr="00CE4357">
              <w:rPr>
                <w:rFonts w:ascii="Verdana" w:hAnsi="Verdana"/>
                <w:sz w:val="20"/>
              </w:rPr>
              <w:t>To ensure the smooth implementation and settlement of all financial transactions, including preparation for</w:t>
            </w:r>
            <w:r w:rsidR="009C2209">
              <w:rPr>
                <w:rFonts w:ascii="Verdana" w:hAnsi="Verdana"/>
                <w:sz w:val="20"/>
              </w:rPr>
              <w:t xml:space="preserve"> </w:t>
            </w:r>
            <w:r w:rsidRPr="00CE4357">
              <w:rPr>
                <w:rFonts w:ascii="Verdana" w:hAnsi="Verdana"/>
                <w:sz w:val="20"/>
              </w:rPr>
              <w:t>and follow up after</w:t>
            </w:r>
            <w:r w:rsidR="009C2209">
              <w:rPr>
                <w:rFonts w:ascii="Verdana" w:hAnsi="Verdana"/>
                <w:sz w:val="20"/>
              </w:rPr>
              <w:t xml:space="preserve"> </w:t>
            </w:r>
            <w:r w:rsidRPr="00CE4357">
              <w:rPr>
                <w:rFonts w:ascii="Verdana" w:hAnsi="Verdana"/>
                <w:sz w:val="20"/>
              </w:rPr>
              <w:t>Annual Audits.</w:t>
            </w:r>
          </w:p>
          <w:p w14:paraId="2F8AF50F" w14:textId="77777777" w:rsidR="00CE4357" w:rsidRPr="00CE4357" w:rsidRDefault="00CE4357">
            <w:pPr>
              <w:numPr>
                <w:ilvl w:val="0"/>
                <w:numId w:val="4"/>
              </w:numPr>
              <w:ind w:left="714" w:hanging="357"/>
              <w:jc w:val="both"/>
              <w:rPr>
                <w:rFonts w:ascii="Verdana" w:hAnsi="Verdana"/>
                <w:sz w:val="20"/>
              </w:rPr>
            </w:pPr>
            <w:r w:rsidRPr="00CE4357">
              <w:rPr>
                <w:rFonts w:ascii="Verdana" w:hAnsi="Verdana"/>
                <w:sz w:val="20"/>
              </w:rPr>
              <w:lastRenderedPageBreak/>
              <w:t>To supervise the work of the Finance Assistant in the preparation of the vouchers, cheques and data entries and accounts codes.</w:t>
            </w:r>
          </w:p>
          <w:p w14:paraId="00E7FCEC" w14:textId="77777777" w:rsidR="00CE4357" w:rsidRPr="00CE4357" w:rsidRDefault="00CE4357">
            <w:pPr>
              <w:numPr>
                <w:ilvl w:val="0"/>
                <w:numId w:val="4"/>
              </w:numPr>
              <w:ind w:left="714" w:hanging="357"/>
              <w:jc w:val="both"/>
              <w:rPr>
                <w:rFonts w:ascii="Verdana" w:hAnsi="Verdana"/>
                <w:sz w:val="20"/>
              </w:rPr>
            </w:pPr>
            <w:r w:rsidRPr="00CE4357">
              <w:rPr>
                <w:rFonts w:ascii="Verdana" w:hAnsi="Verdana"/>
                <w:sz w:val="20"/>
              </w:rPr>
              <w:t>To ensure the timely recording and settlement of Travel Advances, Consultancy Fees, and service contract payments</w:t>
            </w:r>
            <w:r w:rsidR="00913939">
              <w:rPr>
                <w:rFonts w:ascii="Verdana" w:hAnsi="Verdana"/>
                <w:sz w:val="20"/>
              </w:rPr>
              <w:t xml:space="preserve"> including payroll</w:t>
            </w:r>
            <w:r w:rsidRPr="00CE4357">
              <w:rPr>
                <w:rFonts w:ascii="Verdana" w:hAnsi="Verdana"/>
                <w:sz w:val="20"/>
              </w:rPr>
              <w:t>.</w:t>
            </w:r>
          </w:p>
          <w:p w14:paraId="5EDE8D40" w14:textId="77777777" w:rsidR="00CE4357" w:rsidRPr="00CE4357" w:rsidRDefault="00CE4357">
            <w:pPr>
              <w:jc w:val="both"/>
              <w:rPr>
                <w:rFonts w:ascii="Verdana" w:hAnsi="Verdana"/>
                <w:sz w:val="20"/>
              </w:rPr>
            </w:pPr>
          </w:p>
          <w:p w14:paraId="1ADDADD7" w14:textId="77777777" w:rsidR="00CE4357" w:rsidRPr="00CE4357" w:rsidRDefault="00CE4357">
            <w:pPr>
              <w:numPr>
                <w:ilvl w:val="0"/>
                <w:numId w:val="2"/>
              </w:numPr>
              <w:ind w:left="426"/>
              <w:jc w:val="both"/>
              <w:rPr>
                <w:rFonts w:ascii="Verdana" w:hAnsi="Verdana"/>
                <w:b/>
                <w:sz w:val="20"/>
              </w:rPr>
            </w:pPr>
            <w:r w:rsidRPr="00CE4357">
              <w:rPr>
                <w:rFonts w:ascii="Verdana" w:hAnsi="Verdana"/>
                <w:b/>
                <w:sz w:val="20"/>
              </w:rPr>
              <w:t>Others</w:t>
            </w:r>
          </w:p>
          <w:p w14:paraId="4562CB06" w14:textId="77777777" w:rsidR="00CE4357" w:rsidRPr="00CE4357" w:rsidRDefault="00CE4357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</w:rPr>
            </w:pPr>
            <w:r w:rsidRPr="00CE4357">
              <w:rPr>
                <w:rFonts w:ascii="Verdana" w:hAnsi="Verdana"/>
                <w:sz w:val="20"/>
              </w:rPr>
              <w:t>To ensure that commercially valuable information is treated confidentially, that computer records are backed up weekly and that physical and electronic records are secure.</w:t>
            </w:r>
          </w:p>
          <w:p w14:paraId="7A138EAD" w14:textId="77777777" w:rsidR="00CE4357" w:rsidRPr="00CE4357" w:rsidRDefault="00CE4357">
            <w:pPr>
              <w:numPr>
                <w:ilvl w:val="0"/>
                <w:numId w:val="5"/>
              </w:numPr>
              <w:ind w:left="714" w:hanging="357"/>
              <w:rPr>
                <w:rFonts w:ascii="Verdana" w:hAnsi="Verdana"/>
                <w:sz w:val="20"/>
              </w:rPr>
            </w:pPr>
            <w:r w:rsidRPr="00CE4357">
              <w:rPr>
                <w:rFonts w:ascii="Verdana" w:hAnsi="Verdana"/>
                <w:sz w:val="20"/>
              </w:rPr>
              <w:t xml:space="preserve">To undertake any other duties related to Finance and </w:t>
            </w:r>
            <w:r w:rsidR="00913939">
              <w:rPr>
                <w:rFonts w:ascii="Verdana" w:hAnsi="Verdana"/>
                <w:sz w:val="20"/>
              </w:rPr>
              <w:t>Administration</w:t>
            </w:r>
            <w:r w:rsidRPr="00CE4357">
              <w:rPr>
                <w:rFonts w:ascii="Verdana" w:hAnsi="Verdana"/>
                <w:sz w:val="20"/>
              </w:rPr>
              <w:t xml:space="preserve"> Managemen</w:t>
            </w:r>
            <w:r w:rsidR="004879B9">
              <w:rPr>
                <w:rFonts w:ascii="Verdana" w:hAnsi="Verdana"/>
                <w:sz w:val="20"/>
              </w:rPr>
              <w:t>t as requested by the IPPF HUB Director</w:t>
            </w:r>
            <w:r w:rsidRPr="00CE4357">
              <w:rPr>
                <w:rFonts w:ascii="Verdana" w:hAnsi="Verdana"/>
                <w:sz w:val="20"/>
              </w:rPr>
              <w:t>.</w:t>
            </w:r>
          </w:p>
          <w:p w14:paraId="5B557975" w14:textId="77777777" w:rsidR="00CE4357" w:rsidRPr="00CE4357" w:rsidRDefault="00CE4357">
            <w:pPr>
              <w:pStyle w:val="ListParagraph"/>
              <w:numPr>
                <w:ilvl w:val="0"/>
                <w:numId w:val="5"/>
              </w:numPr>
              <w:ind w:left="714" w:hanging="357"/>
              <w:rPr>
                <w:rFonts w:ascii="Verdana" w:hAnsi="Verdana"/>
              </w:rPr>
            </w:pPr>
            <w:r w:rsidRPr="00CE4357">
              <w:rPr>
                <w:rFonts w:ascii="Verdana" w:hAnsi="Verdana"/>
              </w:rPr>
              <w:t>Carry out other activities and responsibilities</w:t>
            </w:r>
            <w:r w:rsidR="009C2209">
              <w:rPr>
                <w:rFonts w:ascii="Verdana" w:hAnsi="Verdana"/>
              </w:rPr>
              <w:t xml:space="preserve"> </w:t>
            </w:r>
            <w:r w:rsidRPr="00CE4357">
              <w:rPr>
                <w:rFonts w:ascii="Verdana" w:hAnsi="Verdana"/>
              </w:rPr>
              <w:t xml:space="preserve">as delegated by the </w:t>
            </w:r>
            <w:r w:rsidR="004879B9">
              <w:rPr>
                <w:rFonts w:ascii="Verdana" w:hAnsi="Verdana"/>
              </w:rPr>
              <w:t>IPPF HUB Director</w:t>
            </w:r>
            <w:r w:rsidRPr="00CE4357">
              <w:rPr>
                <w:rFonts w:ascii="Verdana" w:hAnsi="Verdana"/>
              </w:rPr>
              <w:t xml:space="preserve"> and his/her Nominee.</w:t>
            </w:r>
          </w:p>
          <w:p w14:paraId="79216C05" w14:textId="77777777" w:rsidR="00CE4357" w:rsidRPr="00CE4357" w:rsidRDefault="00CE4357">
            <w:pPr>
              <w:pStyle w:val="ListParagraph"/>
              <w:numPr>
                <w:ilvl w:val="0"/>
                <w:numId w:val="5"/>
              </w:numPr>
              <w:ind w:left="714" w:hanging="357"/>
              <w:rPr>
                <w:rFonts w:ascii="Verdana" w:hAnsi="Verdana"/>
              </w:rPr>
            </w:pPr>
            <w:r w:rsidRPr="00CE4357">
              <w:rPr>
                <w:rFonts w:ascii="Verdana" w:hAnsi="Verdana"/>
              </w:rPr>
              <w:t xml:space="preserve">The post holder will carry out his/her responsibilities in accordance </w:t>
            </w:r>
            <w:r w:rsidR="002F3F4C">
              <w:rPr>
                <w:rFonts w:ascii="Verdana" w:hAnsi="Verdana"/>
              </w:rPr>
              <w:t>with</w:t>
            </w:r>
            <w:r w:rsidRPr="00CE4357">
              <w:rPr>
                <w:rFonts w:ascii="Verdana" w:hAnsi="Verdana"/>
              </w:rPr>
              <w:t xml:space="preserve"> IPPF’s policy on Protection of Children and Vulnerable Adults.</w:t>
            </w:r>
          </w:p>
          <w:p w14:paraId="1239F8F3" w14:textId="77777777" w:rsidR="00CE4357" w:rsidRPr="00CE4357" w:rsidRDefault="00CE4357">
            <w:pPr>
              <w:spacing w:after="120"/>
              <w:rPr>
                <w:rFonts w:ascii="Verdana" w:hAnsi="Verdana"/>
                <w:sz w:val="20"/>
              </w:rPr>
            </w:pPr>
          </w:p>
        </w:tc>
      </w:tr>
      <w:tr w:rsidR="00CE4357" w:rsidRPr="00CE4357" w14:paraId="47A60B2A" w14:textId="77777777" w:rsidTr="00CE4357">
        <w:trPr>
          <w:trHeight w:val="216"/>
        </w:trPr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E4E805" w14:textId="77777777" w:rsidR="00CE4357" w:rsidRPr="00CE4357" w:rsidRDefault="00CE4357">
            <w:pPr>
              <w:jc w:val="both"/>
              <w:rPr>
                <w:rFonts w:ascii="Verdana" w:hAnsi="Verdana"/>
                <w:b/>
                <w:sz w:val="20"/>
              </w:rPr>
            </w:pPr>
            <w:r w:rsidRPr="00CE4357">
              <w:rPr>
                <w:rFonts w:ascii="Verdana" w:hAnsi="Verdana"/>
                <w:b/>
                <w:sz w:val="20"/>
              </w:rPr>
              <w:lastRenderedPageBreak/>
              <w:t>3. REQUIREMENTS</w:t>
            </w:r>
          </w:p>
        </w:tc>
      </w:tr>
      <w:tr w:rsidR="00CE4357" w:rsidRPr="00CE4357" w14:paraId="3A35A9A5" w14:textId="77777777" w:rsidTr="00CE4357"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3422" w14:textId="77777777" w:rsidR="007D18B1" w:rsidRDefault="007D18B1" w:rsidP="007D18B1">
            <w:pPr>
              <w:ind w:left="709"/>
              <w:jc w:val="both"/>
              <w:rPr>
                <w:rFonts w:ascii="Verdana" w:hAnsi="Verdana" w:cs="Arial"/>
                <w:sz w:val="20"/>
              </w:rPr>
            </w:pPr>
          </w:p>
          <w:p w14:paraId="5767C914" w14:textId="77777777" w:rsidR="00CE4357" w:rsidRDefault="00CE4357">
            <w:pPr>
              <w:numPr>
                <w:ilvl w:val="0"/>
                <w:numId w:val="6"/>
              </w:numPr>
              <w:ind w:left="709"/>
              <w:jc w:val="both"/>
              <w:rPr>
                <w:rFonts w:ascii="Verdana" w:hAnsi="Verdana" w:cs="Arial"/>
                <w:sz w:val="20"/>
              </w:rPr>
            </w:pPr>
            <w:r w:rsidRPr="00CE4357">
              <w:rPr>
                <w:rFonts w:ascii="Verdana" w:hAnsi="Verdana" w:cs="Arial"/>
                <w:sz w:val="20"/>
              </w:rPr>
              <w:t xml:space="preserve">A </w:t>
            </w:r>
            <w:r w:rsidR="002F3F4C">
              <w:rPr>
                <w:rFonts w:ascii="Verdana" w:hAnsi="Verdana" w:cs="Arial"/>
                <w:sz w:val="20"/>
              </w:rPr>
              <w:t>d</w:t>
            </w:r>
            <w:r w:rsidRPr="00CE4357">
              <w:rPr>
                <w:rFonts w:ascii="Verdana" w:hAnsi="Verdana" w:cs="Arial"/>
                <w:sz w:val="20"/>
              </w:rPr>
              <w:t xml:space="preserve">egree in </w:t>
            </w:r>
            <w:r w:rsidR="009C2209">
              <w:rPr>
                <w:rFonts w:ascii="Verdana" w:hAnsi="Verdana" w:cs="Arial"/>
                <w:sz w:val="20"/>
              </w:rPr>
              <w:t>A</w:t>
            </w:r>
            <w:r w:rsidR="007D18B1">
              <w:rPr>
                <w:rFonts w:ascii="Verdana" w:hAnsi="Verdana" w:cs="Arial"/>
                <w:sz w:val="20"/>
              </w:rPr>
              <w:t xml:space="preserve">ccounting or </w:t>
            </w:r>
            <w:r w:rsidR="009C2209">
              <w:rPr>
                <w:rFonts w:ascii="Verdana" w:hAnsi="Verdana" w:cs="Arial"/>
                <w:sz w:val="20"/>
              </w:rPr>
              <w:t>F</w:t>
            </w:r>
            <w:r w:rsidR="007D18B1">
              <w:rPr>
                <w:rFonts w:ascii="Verdana" w:hAnsi="Verdana" w:cs="Arial"/>
                <w:sz w:val="20"/>
              </w:rPr>
              <w:t xml:space="preserve">inance </w:t>
            </w:r>
            <w:r w:rsidRPr="00CE4357">
              <w:rPr>
                <w:rFonts w:ascii="Verdana" w:hAnsi="Verdana" w:cs="Arial"/>
                <w:sz w:val="20"/>
              </w:rPr>
              <w:t>or equivalent</w:t>
            </w:r>
            <w:r w:rsidR="009C2209">
              <w:rPr>
                <w:rFonts w:ascii="Verdana" w:hAnsi="Verdana" w:cs="Arial"/>
                <w:sz w:val="20"/>
              </w:rPr>
              <w:t>;</w:t>
            </w:r>
          </w:p>
          <w:p w14:paraId="4399DE1B" w14:textId="77777777" w:rsidR="007D18B1" w:rsidRPr="00CE4357" w:rsidRDefault="007D18B1">
            <w:pPr>
              <w:numPr>
                <w:ilvl w:val="0"/>
                <w:numId w:val="6"/>
              </w:numPr>
              <w:ind w:left="709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Postgraduate qualification in accounting or member of a professional accounting body, or study towards the same (e.g. CA/CPA</w:t>
            </w:r>
            <w:r w:rsidR="009C2209">
              <w:rPr>
                <w:rFonts w:ascii="Verdana" w:hAnsi="Verdana" w:cs="Arial"/>
                <w:sz w:val="20"/>
              </w:rPr>
              <w:t>)</w:t>
            </w:r>
          </w:p>
          <w:p w14:paraId="00EA837C" w14:textId="77777777" w:rsidR="00CE4357" w:rsidRPr="00CE4357" w:rsidRDefault="002F3F4C">
            <w:pPr>
              <w:numPr>
                <w:ilvl w:val="0"/>
                <w:numId w:val="6"/>
              </w:numPr>
              <w:ind w:left="709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Advanced </w:t>
            </w:r>
            <w:r w:rsidR="00CE4357" w:rsidRPr="00CE4357">
              <w:rPr>
                <w:rFonts w:ascii="Verdana" w:hAnsi="Verdana" w:cs="Arial"/>
                <w:sz w:val="20"/>
              </w:rPr>
              <w:t>managerial and NGO experience in the relevant field</w:t>
            </w:r>
            <w:r w:rsidR="009C2209">
              <w:rPr>
                <w:rFonts w:ascii="Verdana" w:hAnsi="Verdana" w:cs="Arial"/>
                <w:sz w:val="20"/>
              </w:rPr>
              <w:t>;</w:t>
            </w:r>
          </w:p>
          <w:p w14:paraId="3FC2DF13" w14:textId="77777777" w:rsidR="00CE4357" w:rsidRPr="00CE4357" w:rsidRDefault="00CE4357">
            <w:pPr>
              <w:numPr>
                <w:ilvl w:val="0"/>
                <w:numId w:val="6"/>
              </w:numPr>
              <w:ind w:left="709"/>
              <w:jc w:val="both"/>
              <w:rPr>
                <w:rFonts w:ascii="Verdana" w:hAnsi="Verdana" w:cs="Arial"/>
                <w:sz w:val="20"/>
              </w:rPr>
            </w:pPr>
            <w:r w:rsidRPr="00CE4357">
              <w:rPr>
                <w:rFonts w:ascii="Verdana" w:hAnsi="Verdana" w:cs="Arial"/>
                <w:sz w:val="20"/>
              </w:rPr>
              <w:t>Experience and competence in office management</w:t>
            </w:r>
            <w:r w:rsidR="009C2209">
              <w:rPr>
                <w:rFonts w:ascii="Verdana" w:hAnsi="Verdana" w:cs="Arial"/>
                <w:sz w:val="20"/>
              </w:rPr>
              <w:t>;</w:t>
            </w:r>
          </w:p>
          <w:p w14:paraId="31F4AA21" w14:textId="77777777" w:rsidR="00CE4357" w:rsidRPr="00CE4357" w:rsidRDefault="00CE4357">
            <w:pPr>
              <w:numPr>
                <w:ilvl w:val="0"/>
                <w:numId w:val="6"/>
              </w:numPr>
              <w:ind w:left="709"/>
              <w:jc w:val="both"/>
              <w:rPr>
                <w:rFonts w:ascii="Verdana" w:hAnsi="Verdana" w:cs="Arial"/>
                <w:sz w:val="20"/>
              </w:rPr>
            </w:pPr>
            <w:r w:rsidRPr="00CE4357">
              <w:rPr>
                <w:rFonts w:ascii="Verdana" w:hAnsi="Verdana" w:cs="Arial"/>
                <w:sz w:val="20"/>
              </w:rPr>
              <w:t>Strong process and systems management skills</w:t>
            </w:r>
            <w:r w:rsidR="009C2209">
              <w:rPr>
                <w:rFonts w:ascii="Verdana" w:hAnsi="Verdana" w:cs="Arial"/>
                <w:sz w:val="20"/>
              </w:rPr>
              <w:t>;</w:t>
            </w:r>
          </w:p>
          <w:p w14:paraId="122F8B35" w14:textId="77777777" w:rsidR="00CE4357" w:rsidRPr="00CE4357" w:rsidRDefault="00CE4357">
            <w:pPr>
              <w:numPr>
                <w:ilvl w:val="0"/>
                <w:numId w:val="6"/>
              </w:numPr>
              <w:ind w:left="709"/>
              <w:jc w:val="both"/>
              <w:rPr>
                <w:rFonts w:ascii="Verdana" w:hAnsi="Verdana" w:cs="Arial"/>
                <w:sz w:val="20"/>
              </w:rPr>
            </w:pPr>
            <w:r w:rsidRPr="00CE4357">
              <w:rPr>
                <w:rFonts w:ascii="Verdana" w:hAnsi="Verdana" w:cs="Arial"/>
                <w:sz w:val="20"/>
              </w:rPr>
              <w:t>Knowledge of and/or experience in administration of technical assistance</w:t>
            </w:r>
            <w:r w:rsidR="009C2209">
              <w:rPr>
                <w:rFonts w:ascii="Verdana" w:hAnsi="Verdana" w:cs="Arial"/>
                <w:sz w:val="20"/>
              </w:rPr>
              <w:t>;</w:t>
            </w:r>
          </w:p>
          <w:p w14:paraId="44FC3437" w14:textId="77777777" w:rsidR="00CE4357" w:rsidRPr="00CE4357" w:rsidRDefault="002F3F4C">
            <w:pPr>
              <w:numPr>
                <w:ilvl w:val="0"/>
                <w:numId w:val="6"/>
              </w:numPr>
              <w:ind w:left="709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K</w:t>
            </w:r>
            <w:r w:rsidR="00CE4357" w:rsidRPr="00CE4357">
              <w:rPr>
                <w:rFonts w:ascii="Verdana" w:hAnsi="Verdana" w:cs="Arial"/>
                <w:sz w:val="20"/>
              </w:rPr>
              <w:t xml:space="preserve">nowledge </w:t>
            </w:r>
            <w:r>
              <w:rPr>
                <w:rFonts w:ascii="Verdana" w:hAnsi="Verdana" w:cs="Arial"/>
                <w:sz w:val="20"/>
              </w:rPr>
              <w:t xml:space="preserve">and experience </w:t>
            </w:r>
            <w:r w:rsidR="00CE4357" w:rsidRPr="00CE4357">
              <w:rPr>
                <w:rFonts w:ascii="Verdana" w:hAnsi="Verdana" w:cs="Arial"/>
                <w:sz w:val="20"/>
              </w:rPr>
              <w:t xml:space="preserve">of </w:t>
            </w:r>
            <w:r w:rsidR="004879B9">
              <w:rPr>
                <w:rFonts w:ascii="Verdana" w:hAnsi="Verdana" w:cs="Arial"/>
                <w:sz w:val="20"/>
              </w:rPr>
              <w:t xml:space="preserve">working </w:t>
            </w:r>
            <w:r w:rsidR="00CE4357" w:rsidRPr="00CE4357">
              <w:rPr>
                <w:rFonts w:ascii="Verdana" w:hAnsi="Verdana" w:cs="Arial"/>
                <w:sz w:val="20"/>
              </w:rPr>
              <w:t>in the Asia and Pacific Region</w:t>
            </w:r>
            <w:r w:rsidR="009C2209">
              <w:rPr>
                <w:rFonts w:ascii="Verdana" w:hAnsi="Verdana" w:cs="Arial"/>
                <w:sz w:val="20"/>
              </w:rPr>
              <w:t>.</w:t>
            </w:r>
          </w:p>
          <w:p w14:paraId="1A6BF228" w14:textId="77777777" w:rsidR="00CE4357" w:rsidRPr="00CE4357" w:rsidRDefault="00CE4357">
            <w:pPr>
              <w:spacing w:before="120"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37B9F2DD" w14:textId="77777777" w:rsidR="00CE4357" w:rsidRPr="00CE4357" w:rsidRDefault="00CE4357" w:rsidP="00CE4357">
      <w:pPr>
        <w:rPr>
          <w:rFonts w:ascii="Verdana" w:hAnsi="Verdana"/>
          <w:sz w:val="20"/>
        </w:rPr>
      </w:pPr>
    </w:p>
    <w:p w14:paraId="73A6CC8B" w14:textId="77777777" w:rsidR="00CE4357" w:rsidRPr="00CE4357" w:rsidRDefault="00CE4357" w:rsidP="00CE4357">
      <w:pPr>
        <w:rPr>
          <w:rFonts w:ascii="Verdana" w:hAnsi="Verdana"/>
          <w:sz w:val="20"/>
        </w:rPr>
      </w:pPr>
    </w:p>
    <w:p w14:paraId="6101DC8A" w14:textId="77777777" w:rsidR="0009303D" w:rsidRPr="00CE4357" w:rsidRDefault="0009303D">
      <w:pPr>
        <w:rPr>
          <w:rFonts w:ascii="Verdana" w:hAnsi="Verdana"/>
          <w:sz w:val="20"/>
        </w:rPr>
      </w:pPr>
    </w:p>
    <w:sectPr w:rsidR="0009303D" w:rsidRPr="00CE4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EF6"/>
    <w:multiLevelType w:val="hybridMultilevel"/>
    <w:tmpl w:val="F1A4C3FE"/>
    <w:lvl w:ilvl="0" w:tplc="4409000F">
      <w:start w:val="2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24EE1"/>
    <w:multiLevelType w:val="hybridMultilevel"/>
    <w:tmpl w:val="8E7225D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97F1C"/>
    <w:multiLevelType w:val="hybridMultilevel"/>
    <w:tmpl w:val="5EC2A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6169D5"/>
    <w:multiLevelType w:val="hybridMultilevel"/>
    <w:tmpl w:val="DA66370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7194A"/>
    <w:multiLevelType w:val="hybridMultilevel"/>
    <w:tmpl w:val="DC149E4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F526F"/>
    <w:multiLevelType w:val="hybridMultilevel"/>
    <w:tmpl w:val="41642DE2"/>
    <w:lvl w:ilvl="0" w:tplc="115688AE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97422"/>
    <w:multiLevelType w:val="hybridMultilevel"/>
    <w:tmpl w:val="FBD26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57"/>
    <w:rsid w:val="00024A36"/>
    <w:rsid w:val="0009303D"/>
    <w:rsid w:val="002F3F4C"/>
    <w:rsid w:val="004879B9"/>
    <w:rsid w:val="00607F37"/>
    <w:rsid w:val="007D18B1"/>
    <w:rsid w:val="008B0E28"/>
    <w:rsid w:val="00913939"/>
    <w:rsid w:val="009C2209"/>
    <w:rsid w:val="00CE4357"/>
    <w:rsid w:val="00E8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57"/>
    <w:pPr>
      <w:spacing w:line="240" w:lineRule="auto"/>
      <w:jc w:val="left"/>
    </w:pPr>
    <w:rPr>
      <w:rFonts w:ascii="Times New Roman" w:eastAsia="Times New Roman" w:hAnsi="Times New Roman" w:cs="Times New Roman"/>
      <w:sz w:val="26"/>
      <w:szCs w:val="20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35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357"/>
    <w:rPr>
      <w:rFonts w:ascii="Cambria" w:eastAsia="Times New Roman" w:hAnsi="Cambria" w:cs="Times New Roman"/>
      <w:b/>
      <w:bCs/>
      <w:color w:val="365F91"/>
      <w:sz w:val="28"/>
      <w:szCs w:val="28"/>
      <w:lang w:val="en-GB" w:eastAsia="zh-CN"/>
    </w:rPr>
  </w:style>
  <w:style w:type="paragraph" w:styleId="Title">
    <w:name w:val="Title"/>
    <w:basedOn w:val="Normal"/>
    <w:link w:val="TitleChar"/>
    <w:qFormat/>
    <w:rsid w:val="00CE4357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E4357"/>
    <w:rPr>
      <w:rFonts w:ascii="Times New Roman" w:eastAsia="Times New Roman" w:hAnsi="Times New Roman" w:cs="Times New Roman"/>
      <w:b/>
      <w:sz w:val="26"/>
      <w:szCs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CE4357"/>
    <w:pPr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57"/>
    <w:pPr>
      <w:spacing w:line="240" w:lineRule="auto"/>
      <w:jc w:val="left"/>
    </w:pPr>
    <w:rPr>
      <w:rFonts w:ascii="Times New Roman" w:eastAsia="Times New Roman" w:hAnsi="Times New Roman" w:cs="Times New Roman"/>
      <w:sz w:val="26"/>
      <w:szCs w:val="20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35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357"/>
    <w:rPr>
      <w:rFonts w:ascii="Cambria" w:eastAsia="Times New Roman" w:hAnsi="Cambria" w:cs="Times New Roman"/>
      <w:b/>
      <w:bCs/>
      <w:color w:val="365F91"/>
      <w:sz w:val="28"/>
      <w:szCs w:val="28"/>
      <w:lang w:val="en-GB" w:eastAsia="zh-CN"/>
    </w:rPr>
  </w:style>
  <w:style w:type="paragraph" w:styleId="Title">
    <w:name w:val="Title"/>
    <w:basedOn w:val="Normal"/>
    <w:link w:val="TitleChar"/>
    <w:qFormat/>
    <w:rsid w:val="00CE4357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E4357"/>
    <w:rPr>
      <w:rFonts w:ascii="Times New Roman" w:eastAsia="Times New Roman" w:hAnsi="Times New Roman" w:cs="Times New Roman"/>
      <w:b/>
      <w:sz w:val="26"/>
      <w:szCs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CE4357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DB538AF8C0D4AA074E08294E65F0A" ma:contentTypeVersion="0" ma:contentTypeDescription="Create a new document." ma:contentTypeScope="" ma:versionID="330d3d116416f0e777e4928841a908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7959-CB81-4B26-9BC5-EDCB69A6F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989555-B375-45B6-B3D5-61958C541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0F1F9-C696-4720-9338-E8329DDD4071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1F192B-783F-433E-8F22-EFE5F772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Kamsiah Hasbullah</dc:creator>
  <cp:lastModifiedBy>Nicola Grice</cp:lastModifiedBy>
  <cp:revision>2</cp:revision>
  <dcterms:created xsi:type="dcterms:W3CDTF">2017-03-07T10:40:00Z</dcterms:created>
  <dcterms:modified xsi:type="dcterms:W3CDTF">2017-03-07T10:40:00Z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0x010100E84DB538AF8C0D4AA074E08294E65F0A</vt:lpwstr>
  </property>
</Properties>
</file>